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-1080" w:firstLine="0"/>
        <w:jc w:val="left"/>
        <w:rPr>
          <w:rStyle w:val="816"/>
          <w:sz w:val="2"/>
          <w:szCs w:val="2"/>
          <w:highlight w:val="none"/>
        </w:rPr>
      </w:pPr>
      <w:r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  <w:shd w:val="clear" w:color="auto" w:fill="ffffff"/>
        </w:rPr>
      </w:r>
      <w:r>
        <w:rPr>
          <w:rStyle w:val="816"/>
          <w:sz w:val="2"/>
          <w:szCs w:val="2"/>
          <w:highlight w:val="none"/>
        </w:rPr>
      </w:r>
      <w:r/>
    </w:p>
    <w:p>
      <w:pPr>
        <w:ind w:left="-540" w:right="-1080" w:hanging="90"/>
        <w:jc w:val="left"/>
        <w:rPr>
          <w:rStyle w:val="816"/>
          <w:highlight w:val="none"/>
        </w:rPr>
      </w:pP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           Registrul</w:t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 </w:t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pentru</w:t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 </w:t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evidența</w:t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 </w:t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hotărârilor</w:t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shd w:val="clear" w:color="auto" w:fill="ffffff"/>
        </w:rPr>
        <w:t xml:space="preserve"> din 2023</w:t>
      </w:r>
      <w:r>
        <w:rPr>
          <w:rStyle w:val="816"/>
        </w:rPr>
      </w:r>
      <w:r/>
    </w:p>
    <w:p>
      <w:pPr>
        <w:ind w:left="-540" w:right="-1080" w:hanging="90"/>
        <w:jc w:val="left"/>
        <w:rPr>
          <w:rStyle w:val="816"/>
          <w:sz w:val="4"/>
          <w:szCs w:val="4"/>
          <w:highlight w:val="none"/>
        </w:rPr>
      </w:pPr>
      <w:r>
        <w:rPr>
          <w:rStyle w:val="816"/>
          <w:sz w:val="4"/>
          <w:szCs w:val="4"/>
          <w:highlight w:val="none"/>
        </w:rPr>
      </w:r>
      <w:r>
        <w:rPr>
          <w:rStyle w:val="816"/>
          <w:sz w:val="4"/>
          <w:szCs w:val="4"/>
          <w:highlight w:val="none"/>
        </w:rPr>
      </w:r>
      <w:r/>
    </w:p>
    <w:tbl>
      <w:tblPr>
        <w:tblStyle w:val="666"/>
        <w:tblW w:w="11197" w:type="dxa"/>
        <w:tblInd w:w="-1069" w:type="dxa"/>
        <w:tblBorders>
          <w:top w:val="single" w:color="404040" w:themeColor="text1" w:themeTint="BF" w:sz="4" w:space="0"/>
          <w:left w:val="single" w:color="404040" w:themeColor="text1" w:themeTint="BF" w:sz="4" w:space="0"/>
          <w:bottom w:val="single" w:color="404040" w:themeColor="text1" w:themeTint="BF" w:sz="4" w:space="0"/>
          <w:right w:val="single" w:color="404040" w:themeColor="text1" w:themeTint="BF" w:sz="4" w:space="0"/>
          <w:insideH w:val="single" w:color="404040" w:themeColor="text1" w:themeTint="BF" w:sz="4" w:space="0"/>
          <w:insideV w:val="single" w:color="404040" w:themeColor="text1" w:themeTint="BF" w:sz="4" w:space="0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1417"/>
        <w:gridCol w:w="9269"/>
      </w:tblGrid>
      <w:tr>
        <w:trPr>
          <w:trHeight w:val="395"/>
        </w:trPr>
        <w:tc>
          <w:tcPr>
            <w:tcW w:w="511" w:type="dxa"/>
            <w:textDirection w:val="lrTb"/>
            <w:noWrap w:val="false"/>
          </w:tcPr>
          <w:p>
            <w:pPr>
              <w:ind w:left="-18" w:right="-450"/>
              <w:rPr>
                <w:rFonts w:ascii="Times New Roman" w:hAnsi="Times New Roman" w:cs="Times New Roman"/>
                <w:color w:val="595959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  <w:t xml:space="preserve">Nr.</w:t>
            </w: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ind w:right="-450"/>
              <w:rPr>
                <w:rFonts w:ascii="Times New Roman" w:hAnsi="Times New Roman" w:cs="Times New Roman"/>
                <w:color w:val="595959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  <w:t xml:space="preserve">Data</w:t>
            </w: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ind w:right="-108"/>
              <w:rPr>
                <w:rFonts w:ascii="Times New Roman" w:hAnsi="Times New Roman" w:cs="Times New Roman"/>
                <w:color w:val="595959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 xml:space="preserve">                                    </w:t>
            </w: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  <w:t xml:space="preserve">Titlu</w:t>
            </w: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595959" w:themeColor="text1" w:themeTint="A6"/>
                <w:sz w:val="32"/>
                <w:szCs w:val="32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26" w:lineRule="atLeast"/>
              <w:rPr>
                <w:color w:val="404040" w:themeColor="text1" w:themeTint="BF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18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26" w:lineRule="atLeast"/>
              <w:rPr>
                <w:rFonts w:ascii="Times New Roman" w:hAnsi="Times New Roman" w:cs="Times New Roman"/>
                <w:color w:val="404040" w:themeColor="text1" w:themeTint="BF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0" w:right="-450"/>
              <w:spacing w:line="26" w:lineRule="atLeast"/>
              <w:rPr>
                <w:color w:val="404040" w:themeColor="text1" w:themeTint="BF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8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36" w:right="-450"/>
              <w:spacing w:line="26" w:lineRule="atLeast"/>
              <w:rPr>
                <w:rFonts w:ascii="Times New Roman" w:hAnsi="Times New Roman" w:cs="Times New Roman"/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06.01.2023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left="-36" w:right="-108" w:hanging="90"/>
              <w:spacing w:line="26" w:lineRule="atLeast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Acoperirea definitiv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a deficitului sec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iunii de dezvoltare din excedentul bugetului local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 acoperirea temporar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a golurilor de cas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26" w:lineRule="atLeast"/>
              <w:rPr>
                <w:color w:val="404040" w:themeColor="text1" w:themeTint="BF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8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26" w:lineRule="atLeast"/>
              <w:rPr>
                <w:rFonts w:ascii="Times New Roman" w:hAnsi="Times New Roman" w:cs="Times New Roman"/>
                <w:color w:val="404040" w:themeColor="text1" w:themeTint="BF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36" w:right="-450"/>
              <w:spacing w:line="26" w:lineRule="atLeast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6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36" w:right="-450"/>
              <w:spacing w:line="26" w:lineRule="atLeast"/>
              <w:rPr>
                <w:rFonts w:ascii="Times New Roman" w:hAnsi="Times New Roman" w:cs="Times New Roman"/>
                <w:color w:val="404040" w:themeColor="text1" w:themeTint="BF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06.01.2023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left="-36" w:right="-108"/>
              <w:spacing w:line="26" w:lineRule="atLeast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organiz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rii re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elei unit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ilor de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nv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m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â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nt preuniversita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r de stat din comuna Dăbâca pentru anul școlar 2023-2024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4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3.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0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36" w:right="-450"/>
              <w:spacing w:line="360" w:lineRule="auto"/>
              <w:rPr>
                <w:color w:val="404040" w:themeColor="text1" w:themeTint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28"/>
                <w:lang w:val="ro-RO"/>
              </w:rPr>
              <w:t xml:space="preserve">06</w:t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36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06.01.2023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Implementarea proiectului proiectului ”Achiziție buldoexcavator în comuna Dăbâca, județul Cluj”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4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4.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0" w:right="-450"/>
              <w:spacing w:line="360" w:lineRule="auto"/>
              <w:rPr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4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36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26.01.2023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left="-36"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organiz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rii aparatului de specialita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t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e al primarului Comunei D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b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â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ca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, aprobarea unei noi organigrame și a statului de funcții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2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5.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0" w:right="-450"/>
              <w:spacing w:line="360" w:lineRule="auto"/>
              <w:rPr>
                <w:color w:val="404040" w:themeColor="text1" w:themeTint="BF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2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36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26.01.2023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left="-36"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Alegerea pre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edintelui de sedin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pentru o perioad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de trei luni,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ncep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ând cu luna f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ebruarie 2023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4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6.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14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1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26.01.2023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left="-36"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inventarului domeniului public și privat al UAT Dabâca și a inventarului general anual al comunei Dăbâca la 31.12.2022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  <w:highlight w:val="none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7.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  <w:highlight w:val="none"/>
                <w:lang w:val="ro-RO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1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26.01.2023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ea Planului de acțiuni sau de lucrări de interes local ce se vor efectua în anul 2023,de către persoanele apte de munca, beneficiare a ajutorului social, potrivit Legii nr.416/2001, privind venitul minim garantat, cu modificările și completările ulterioare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0"/>
              </w:rPr>
            </w:r>
            <w:r>
              <w:rPr>
                <w:color w:val="404040" w:themeColor="text1" w:themeTint="BF"/>
                <w:sz w:val="6"/>
                <w:szCs w:val="6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8.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0"/>
              </w:rPr>
            </w:r>
            <w:r>
              <w:rPr>
                <w:color w:val="404040" w:themeColor="text1" w:themeTint="BF"/>
                <w:sz w:val="6"/>
                <w:szCs w:val="6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tabs>
                <w:tab w:val="left" w:pos="-18" w:leader="none"/>
              </w:tabs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31.01.2023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excedentului bugetar rezultat la incheierea exercitiului financiar al anului 2023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9.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31.01.2023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bugetului unit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ii-administrativ – teritoriale D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b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â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ca pentru anul 2023 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0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10.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8"/>
              </w:rPr>
              <w:t xml:space="preserve">31</w:t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left="-1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/>
          </w:p>
          <w:p>
            <w:pPr>
              <w:contextualSpacing/>
              <w:ind w:left="-1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/>
          </w:p>
          <w:p>
            <w:pPr>
              <w:contextualSpacing/>
              <w:ind w:left="-1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31.01.2023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Modificarea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 completarea HCL 81 din 22.12.2022 privind stabilirea impozitelor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 taxelor locale pentru anul 2023 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11.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23.02.2023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0"/>
                <w:szCs w:val="20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left="-18"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acord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rii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unui ajutor de înmormântare d-nei Hedeșiu Sanda Rodica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12.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23.02.2023 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Actualizarea Planului de Analiz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 Acoperire a Riscurilor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în anul 2023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4"/>
              </w:rPr>
            </w:r>
            <w:r>
              <w:rPr>
                <w:color w:val="404040" w:themeColor="text1" w:themeTint="BF"/>
                <w:sz w:val="2"/>
                <w:szCs w:val="2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13.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lang w:val="ro-RO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0"/>
                <w:szCs w:val="20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23.02.2023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  <w:lang w:val="ro-RO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color w:val="404040" w:themeColor="text1" w:themeTint="BF"/>
                <w:sz w:val="8"/>
                <w:szCs w:val="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2"/>
              </w:rPr>
            </w:r>
            <w:r>
              <w:rPr>
                <w:color w:val="404040" w:themeColor="text1" w:themeTint="BF"/>
                <w:sz w:val="8"/>
                <w:szCs w:val="8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tabs>
                <w:tab w:val="left" w:pos="-108" w:leader="none"/>
              </w:tabs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drepturilor pentru voluntarii din cadrul Serviciului Voluntar pentru Situații de Urgență al comunei Dăbâca, județul Cluj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0"/>
              </w:rPr>
            </w:r>
            <w:r>
              <w:rPr>
                <w:color w:val="404040" w:themeColor="text1" w:themeTint="BF"/>
                <w:sz w:val="6"/>
                <w:szCs w:val="6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14.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highlight w:val="none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highlight w:val="none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highlight w:val="none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23.02.2023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  <w:lang w:val="ro-RO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întăbulării dreptului de proprietate al comunei Dăbâca – domeniul public asupra a două Ulițe comunale 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15.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 w:firstLine="18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14.03.2023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revocării HCL 54 din 29.09.2029 privind acordarea unui sprijin financiar pentru Asociația Culturală Junii Cetății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28"/>
              </w:rPr>
              <w:t xml:space="preserve">1</w:t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16.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0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highlight w:val="none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  <w:lang w:val="ro-RO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40"/>
                <w:szCs w:val="40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14.03.2023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 particip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ării Comunei Dăbâca la Programul Național de Redresare și Reziliență,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 Componenta C15 – Educație cu proiectul cu titlul ”DOTAREA CU MOBILIER, MATERIALE DIDACTICE ȘI ECHIPAMENTE DIGITALE A ȘCOLII GIMNAZIALE „GELU ROMÂNUL” DĂBÂCA, JUDEȚUL CLUJ”, în cadrul apelului de proiecte PNRR/2022/C15 și a cheltuielilor legate de proiect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6"/>
              </w:rPr>
            </w:r>
            <w:r>
              <w:rPr>
                <w:color w:val="404040" w:themeColor="text1" w:themeTint="BF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17.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color w:val="404040" w:themeColor="text1" w:themeTint="BF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6"/>
              </w:rPr>
            </w:r>
            <w:r>
              <w:rPr>
                <w:color w:val="404040" w:themeColor="text1" w:themeTint="BF"/>
                <w:sz w:val="12"/>
                <w:szCs w:val="12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4"/>
                <w:szCs w:val="4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14.03.2023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Modificarea HCL nr.3 din 06.01.2023 privind implementarea proiectului ”Achiziție buldoexcavator în comuna Dăbâca, județul Cluj”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/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18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30.03.2023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Modificarea inventarului bunurilor care apar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in domeniului public al comunei D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b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â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ca, jud.Cluj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>
          <w:trHeight w:val="567"/>
        </w:trPr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6"/>
                <w:szCs w:val="14"/>
              </w:rPr>
            </w:r>
            <w:r>
              <w:rPr>
                <w:color w:val="404040" w:themeColor="text1" w:themeTint="BF"/>
                <w:sz w:val="10"/>
                <w:szCs w:val="10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19.</w:t>
            </w:r>
            <w:r>
              <w:rPr>
                <w:color w:val="404040" w:themeColor="text1" w:themeTint="BF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color w:val="404040" w:themeColor="text1" w:themeTint="BF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14"/>
              </w:rPr>
            </w:r>
            <w:r>
              <w:rPr>
                <w:color w:val="404040" w:themeColor="text1" w:themeTint="BF"/>
                <w:sz w:val="10"/>
                <w:szCs w:val="10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30.03.2023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  <w:p>
            <w:pPr>
              <w:contextualSpacing/>
              <w:ind w:left="0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14"/>
                <w:szCs w:val="14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6"/>
                <w:szCs w:val="6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16"/>
                <w:szCs w:val="16"/>
              </w:rPr>
            </w:r>
            <w:r/>
          </w:p>
          <w:p>
            <w:pP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2"/>
                <w:szCs w:val="22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Închirierea pajiștilor aflate în domeniul privat a UAT Dăbâca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>
          <w:trHeight w:val="507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20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30.03.2023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Rectificarea  bugetului local pe anul 2023 al unit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ii administrativ teritoriale D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415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21.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27.04.2023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contului de execu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ție al bugetului local pe trimestrul I al anului 2023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>
          <w:trHeight w:val="630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/>
                <w:sz w:val="2"/>
                <w:szCs w:val="2"/>
                <w:highlight w:val="none"/>
              </w:rPr>
            </w:r>
            <w:r>
              <w:rPr>
                <w:rFonts w:ascii="Times New Roman" w:hAnsi="Times New Roman" w:cs="Times New Roman"/>
                <w:color w:val="404040"/>
                <w:sz w:val="2"/>
                <w:szCs w:val="2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22.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  <w:highlight w:val="none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"/>
                <w:szCs w:val="2"/>
              </w:rPr>
            </w:r>
            <w:r/>
          </w:p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27.04.2023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indexarii impozitelor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 taxelor locale, precum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 a taxelor speciale, pe anul 2024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>
          <w:trHeight w:val="415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23.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27.04.2023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Includerea teritoriului UAT Dabaca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în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parteneriat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ul LEADER „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G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L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SOMES TRANSILVAN ” pentru implementarea SDL cu finantare prin PS 2023-2027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>
          <w:trHeight w:val="48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24.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27.04.2023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P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en-US"/>
              </w:rPr>
              <w:t xml:space="preserve">r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ivind acordarea de gratuitate la transportul public al elevilor cu domiciliul pe raza comunei Dăbâca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>
          <w:trHeight w:val="3310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en-US"/>
              </w:rPr>
              <w:t xml:space="preserve">25.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19.05.2023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barea indicatorilor tehnico-economici ptr obiectul de investiție ,,Achiziția a 2 microbuze nepoluante (electrice) utilizate în scopuri comunitare și montajul a 4 stații de reîncărcare, de către parteneriatul Comuna Panticeu și Comuna Dăbâca, județul Cluj”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                                                 și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  <w:t xml:space="preserve">Aprobar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  <w:t xml:space="preserve">ea documentației de atrbuire și a caietului de sarcini ptr „Achiziția a 2 microbuze nepoluante (electrice) utilizate în scopuri comunitare care au incluse 2 stații de reîncărcare lentă, de către parteneriatul Comuna Panticeu și Comuna Dăbâca, județul Cluj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  <w:t xml:space="preserve">                                                 și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  <w:t xml:space="preserve">Aprobarea temei de proiectare pentru „Montajul a 4 stații de reîncărcare de către parteneriatul Comuna Panticeu și Comuna Dăbâca, județul Cluj”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26.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19.05.2023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reactualizării indicatorilor tehnico-economici și a modificării bugetului pentru realizarea investiției „Amenajare teren multisport împrejmuit” 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415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color w:val="404040"/>
                <w:sz w:val="2"/>
                <w:szCs w:val="2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color w:val="404040"/>
                <w:sz w:val="2"/>
                <w:szCs w:val="2"/>
              </w:rPr>
            </w:r>
            <w:r/>
          </w:p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27.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en-US"/>
              </w:rPr>
              <w:t xml:space="preserve">24.05.2023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0d0d0d" w:themeColor="text1" w:themeTint="F2"/>
                <w:sz w:val="26"/>
                <w:szCs w:val="26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Alegerea pre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edintelui de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edi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nță ptr o perioadă de 3 luni, începând cu luna</w:t>
            </w:r>
            <w:r>
              <w:rPr>
                <w:rFonts w:ascii="Times New Roman" w:hAnsi="Times New Roman" w:cs="Times New Roman"/>
                <w:color w:val="0d0d0d" w:themeColor="text1" w:themeTint="F2"/>
                <w:sz w:val="26"/>
                <w:szCs w:val="26"/>
                <w:lang w:val="ro-RO"/>
              </w:rPr>
              <w:t xml:space="preserve"> MAI 2023</w:t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0"/>
                <w:szCs w:val="20"/>
              </w:rPr>
            </w:r>
            <w:r/>
          </w:p>
        </w:tc>
      </w:tr>
      <w:tr>
        <w:trPr>
          <w:trHeight w:val="443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28.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24.05.2023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contului anual de executie si a situatiilor financiare anuale pe anul 2022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12"/>
                <w:szCs w:val="12"/>
                <w:highlight w:val="none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12"/>
                <w:szCs w:val="12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29.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24.05.2023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 creare acces nou si realizare bran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amente/racorduri la re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elele edilitare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n zona str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ăz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ii localității Luna de Jos pentru ,,Elaborare documentație pentru autorizarea executării lucrărilor de ”INTRARE ÎN LEGALITATE, DESFIINȚARE CORPURILE C1,C2, C3 SI CONSTRUIRE LOCUINȚĂ UNIFAMILIALĂ P+E, GARAJ AUTO P,IMPREJMUIRE TEREN,RACORDURI ȘI BRANȘAMENTE”</w:t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30.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24.05.2023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Încetarea contractului de finanțare nr.5315/05.05.2020 pentru obiectivul de investiții ,,Reabilitare și modernizare gradiniță, sat Dăbâca, nr.340, comuna Dăbâca, județul Cluj”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31.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24.05.2023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executării lucrărilor pe domeniul public al comunei pentru creare acces nou, realizare branșamente / racorduri la rețelele edilitare</w:t>
            </w:r>
            <w:r/>
          </w:p>
        </w:tc>
      </w:tr>
      <w:tr>
        <w:trPr>
          <w:trHeight w:val="514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32.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30.05.2023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Rectificarea bugetului local pe anul 2023 al UAT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33.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30.05.2023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solicitării de prelungire până la 22.09.2023 a Scrisorii de Garanție FNGCIMM  SA </w:t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34.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29.06.2023 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Adăugarea în inventarul bunurilor care aparțin domeniului public al comunei Dăbâca, jud. Cluj a bunurilor privind obiectivul ,,Amenajare teren multisport împrejmuit” în localitatea Dăbâca, jud.Cluj ”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35.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17.07.2023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rectific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ării bugetului local și a listei de investiții pe anul 2023 al unității administrativ teritoriale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66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36.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17.07.2023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Deschiderea sesiunii de depunere a proiectelor ptr. obținerea finanțării nerambursabilă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25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37.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27.07.2023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contului de execuție al bugetului local pe trimestrul al II-lea al anului 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  <w:t xml:space="preserve">38.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27.07.2023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Aprobarea rectific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rii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bugetului local și a listei de investiții pe anul 2023 al unității administrativ teritoriale Dăbâca  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39.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27.07.2023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cererii de finanțare nerambursabilă a Asociației Culturale Junii Cetății Dăbâca </w:t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40.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27.07.2023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asocierii comunei Dăbâca, județul Cluj cu comunele Așchileu, Borșa, Panticeu, Recea Cristur, județul Cluj, în cadrul Asociației de Dezvoltare Intercomunitară „Panticeu”</w:t>
            </w:r>
            <w:r/>
          </w:p>
        </w:tc>
      </w:tr>
      <w:tr>
        <w:trPr>
          <w:trHeight w:val="500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41.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27.07.2023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Completarea HCL nr.24 din 11.09.2018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42.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18.08.2023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Asigurarea cofinan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țării de la bugetul local pentru categoriile de cheltuieli, care nu sunt eligibile prin PNDL, pentru obiectivul de investiție „Pod peste Valea Lonea în comuna Dăbâca”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43.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18.08.2023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indicatorilor tehnico-economici actualizați conform OUG 47/2022, aferenți obiectivului de investiție „Pod peste Valea Lonea în comuna Dăbâca”</w:t>
            </w:r>
            <w:r/>
          </w:p>
        </w:tc>
      </w:tr>
      <w:tr>
        <w:trPr>
          <w:trHeight w:val="642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44.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31.08.2023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Alegerea președintelui de ședință pentru o perioadă de trei luni, începând cu luna august 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45.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31.08.2023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Regulamentului de funcționare a „Platformei de depozitare a gunoiului de grajd din comuna Dăbâca, județul Cluj”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57"/>
        </w:trPr>
        <w:tc>
          <w:tcPr>
            <w:tcW w:w="511" w:type="dxa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46.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31.08.2023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taxelor speciale ptr serviciile aferente platformelor de depozitare a gunoiului de grajd, aflate în domeniul public al Comunei Dăbâca </w:t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47.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31.08.2023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prețului de vânzare al compostului obținut de operatorul platformelor de depozitare a gunoiului de grajd din comuna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57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48.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31.08.2023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left="0" w:right="-160" w:firstLine="0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Neasumarea responsabilității organizării și derulării procedurilor de atribuire a contractelor / acordurilor-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cadru pentru achiziția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en-US"/>
              </w:rPr>
              <w:t xml:space="preserve">produselor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și a contractelor /acordurilor-cadru de prestare a serviciilor pentru derularea masurilor educative aferente Programului pentru școli al României în perioada 2023-2029 </w:t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49.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28.09.2023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constituirii Echipei Mobile pentru Intervenția de Urgență în caz de violență domestică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50.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28.09.2023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Modificarea inventarului bunurilor care aparțin domeniului public al comunei Dăbâca, jud.Cluj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726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51.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28.09.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en-US"/>
              </w:rPr>
              <w:t xml:space="preserve">2023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left="0" w:right="-108" w:hanging="142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Desemnarea unui reprezentant al Consiliului Local D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b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â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ca,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î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n Consiliul de Administra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ție al Școlii Gimnaziale „Gelu Românul”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  <w:r/>
          </w:p>
        </w:tc>
      </w:tr>
      <w:tr>
        <w:trPr>
          <w:trHeight w:val="528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52.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28.09.2023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rectificării bugetului pe anul 2023 al unității administrativ teritoriale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53.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acordării unui sprijin financiar pentru Parohia Ortodoxă Română Luna de Jos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86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54.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acordării unui sprijin financiar pentru Parohia Ortodoxă Română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67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55.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acordării unui sprijin financiar pentru Parohia Ortodoxă Cubleșu Someșan Filia Pâglișa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</w:tbl>
    <w:tbl>
      <w:tblPr>
        <w:tblStyle w:val="666"/>
        <w:tblW w:w="11197" w:type="dxa"/>
        <w:tblInd w:w="-1031" w:type="dxa"/>
        <w:tblBorders>
          <w:top w:val="single" w:color="404040" w:themeColor="text1" w:themeTint="BF" w:sz="4" w:space="0"/>
          <w:left w:val="single" w:color="404040" w:themeColor="text1" w:themeTint="BF" w:sz="4" w:space="0"/>
          <w:bottom w:val="single" w:color="404040" w:themeColor="text1" w:themeTint="BF" w:sz="4" w:space="0"/>
          <w:right w:val="single" w:color="404040" w:themeColor="text1" w:themeTint="BF" w:sz="4" w:space="0"/>
          <w:insideH w:val="single" w:color="404040" w:themeColor="text1" w:themeTint="BF" w:sz="4" w:space="0"/>
          <w:insideV w:val="single" w:color="404040" w:themeColor="text1" w:themeTint="BF" w:sz="4" w:space="0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1417"/>
        <w:gridCol w:w="9269"/>
      </w:tblGrid>
      <w:tr>
        <w:trPr>
          <w:trHeight w:val="516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56.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acordării unui sprijin financiar pentru Parohia Greco Catolică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415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57.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acordării unui sprijin financiar pentru Parohia Reformată Luna de Jos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31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58.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acordării unui sprijin financiar pentru Biserica Creștină Penticostală Maranata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57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59.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  <w:t xml:space="preserve">Modificarea inventarului bunurilor care apar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țin domeniului privat al comunei Dăbâca, jud.Cluj și aprobarea întăbulării dreptului de proprietate al comunei Dăbâca – domeniul privat asupra suprafeței de 760 mp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00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60.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26.10.2023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contului de execuție al bugetului local pe trimestrul al III lea al anului 2023</w:t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61.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14.11.2023</w:t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documentației proiectului și a cheltuielilor legate de proiect și a indicatorilor asociați acestuia ptr. proiectul „Realizarea unei capacități de producere a energiei din surse regenerabile pentru autoconsumul comunei Dăbâca”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62.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29.11.2023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reorganizării aparatului de specialitate al primarului Comunei Dăbâca, aprobarea unei noi organigrame și a statului de funcții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63.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29.11.2023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Alegerea președintelui de ședință ptr. o perioadă de trei luni, începând cu luna noiembrie 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64.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29.11.2023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Adăugarea în inventarul bunurilor care aparțin domeniului public al comunei Dăbâca, jud.Cluj a imobilului „Capelă mortuară”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4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65.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29.11.2023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rectificării bugetului pe anul 2023 al unității administrativ teritoriale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66.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29.11.2023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Planului dr măsuri al comitetului Local pentru Situații de Urgență al comunei Dăbâca, jud.Cluj ptr. perioada sezonului rece 2023-2024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557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67.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13.12.2023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Alegerea președintelui de ședință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  <w:tr>
        <w:trPr>
          <w:trHeight w:val="415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68.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13.12.2023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rectificării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en-US"/>
              </w:rPr>
              <w:t xml:space="preserve">bugetului pe anul 2023 al unit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ății administrativ teritoriale Dăbâca 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highlight w:val="none"/>
                <w:lang w:val="ro-RO"/>
              </w:rPr>
            </w:r>
          </w:p>
        </w:tc>
      </w:tr>
      <w:tr>
        <w:trPr>
          <w:trHeight w:val="347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69.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21.12.2023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Stabilirea impozitelor și taxelor locale pentru anul 2024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</w:p>
        </w:tc>
      </w:tr>
      <w:tr>
        <w:trPr>
          <w:trHeight w:val="699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70.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21.12.2023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execuției bugetului de venituri și cheltuieli al comunei Dăbâca pe trimestrul IV al anului 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</w:p>
        </w:tc>
      </w:tr>
      <w:tr>
        <w:trPr>
          <w:trHeight w:val="563"/>
        </w:trPr>
        <w:tc>
          <w:tcPr>
            <w:tcW w:w="511" w:type="dxa"/>
            <w:vMerge w:val="restart"/>
            <w:textDirection w:val="lrTb"/>
            <w:noWrap w:val="false"/>
          </w:tcPr>
          <w:p>
            <w:pPr>
              <w:contextualSpacing/>
              <w:ind w:right="-450"/>
              <w:spacing w:line="360" w:lineRule="auto"/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/>
                <w:sz w:val="28"/>
                <w:szCs w:val="28"/>
                <w:lang w:val="ro-RO"/>
              </w:rPr>
              <w:t xml:space="preserve">71.</w:t>
            </w:r>
            <w:r>
              <w:rPr>
                <w:rFonts w:ascii="Times New Roman" w:hAnsi="Times New Roman" w:cs="Times New Roman"/>
                <w:color w:val="404040"/>
                <w:sz w:val="28"/>
                <w:szCs w:val="28"/>
              </w:rPr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contextualSpacing/>
              <w:ind w:left="-108" w:right="-450"/>
              <w:spacing w:line="360" w:lineRule="auto"/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  <w:lang w:val="ro-RO"/>
              </w:rPr>
              <w:t xml:space="preserve"> 21.12.2023</w:t>
            </w:r>
            <w:r>
              <w:rPr>
                <w:rFonts w:ascii="Times New Roman" w:hAnsi="Times New Roman" w:cs="Times New Roman"/>
                <w:color w:val="404040" w:themeColor="text1" w:themeTint="BF"/>
                <w:sz w:val="28"/>
                <w:szCs w:val="28"/>
              </w:rPr>
            </w:r>
            <w:r/>
          </w:p>
        </w:tc>
        <w:tc>
          <w:tcPr>
            <w:tcW w:w="9269" w:type="dxa"/>
            <w:vMerge w:val="restart"/>
            <w:textDirection w:val="lrTb"/>
            <w:noWrap w:val="false"/>
          </w:tcPr>
          <w:p>
            <w:pPr>
              <w:contextualSpacing/>
              <w:ind w:right="-108"/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  <w:lang w:val="ro-RO"/>
              </w:rPr>
              <w:t xml:space="preserve">Aprobarea rectificării bugetului pe anul 2023 al unității administrativ teritoriale Dăbâca</w:t>
            </w:r>
            <w:r>
              <w:rPr>
                <w:rFonts w:ascii="Times New Roman" w:hAnsi="Times New Roman" w:cs="Times New Roman"/>
                <w:color w:val="404040" w:themeColor="text1" w:themeTint="BF"/>
                <w:sz w:val="26"/>
                <w:szCs w:val="26"/>
              </w:rPr>
            </w:r>
            <w:r/>
          </w:p>
        </w:tc>
      </w:tr>
    </w:tbl>
    <w:p>
      <w:pPr>
        <w:ind w:left="-850" w:right="-709" w:hanging="283"/>
        <w:jc w:val="left"/>
        <w:tabs>
          <w:tab w:val="left" w:pos="10346" w:leader="none"/>
        </w:tabs>
      </w:pPr>
      <w:r>
        <w:rPr>
          <w:rStyle w:val="816"/>
          <w:rFonts w:ascii="Arial" w:hAnsi="Arial" w:cs="Arial"/>
          <w:color w:val="404040" w:themeColor="text1" w:themeTint="BF"/>
          <w:sz w:val="36"/>
          <w:szCs w:val="36"/>
          <w:highlight w:val="none"/>
        </w:rPr>
      </w:r>
      <w:r>
        <w:rPr>
          <w:rStyle w:val="816"/>
        </w:rPr>
      </w:r>
      <w:r/>
    </w:p>
    <w:p>
      <w:pPr>
        <w:ind w:left="-540" w:right="-1080" w:hanging="90"/>
        <w:jc w:val="left"/>
        <w:spacing w:line="240" w:lineRule="auto"/>
        <w:rPr>
          <w:rStyle w:val="816"/>
          <w:b w:val="0"/>
          <w:bCs w:val="0"/>
          <w:color w:val="0d0d0d" w:themeColor="text1" w:themeTint="F2"/>
          <w:highlight w:val="none"/>
        </w:rPr>
      </w:pPr>
      <w:r>
        <w:rPr>
          <w:rStyle w:val="816"/>
          <w:color w:val="404040" w:themeColor="text1" w:themeTint="BF"/>
          <w:highlight w:val="none"/>
          <w:lang w:val="ro-RO"/>
        </w:rPr>
        <w:t xml:space="preserve">                                                                                                            </w:t>
      </w:r>
      <w:r>
        <w:rPr>
          <w:rStyle w:val="816"/>
          <w:color w:val="0d0d0d" w:themeColor="text1" w:themeTint="F2"/>
          <w:highlight w:val="none"/>
          <w:lang w:val="ro-RO"/>
        </w:rPr>
        <w:t xml:space="preserve"> </w:t>
      </w:r>
      <w:r>
        <w:rPr>
          <w:rStyle w:val="816"/>
          <w:b w:val="0"/>
          <w:bCs w:val="0"/>
          <w:color w:val="0d0d0d" w:themeColor="text1" w:themeTint="F2"/>
          <w:highlight w:val="none"/>
          <w:lang w:val="ro-RO"/>
        </w:rPr>
        <w:t xml:space="preserve">  Secretar </w:t>
      </w:r>
      <w:r>
        <w:rPr>
          <w:rStyle w:val="816"/>
          <w:b w:val="0"/>
          <w:bCs w:val="0"/>
          <w:color w:val="0d0d0d" w:themeColor="text1" w:themeTint="F2"/>
          <w:lang w:val="ro-RO"/>
        </w:rPr>
        <w:t xml:space="preserve">gen. </w:t>
      </w:r>
      <w:r>
        <w:rPr>
          <w:rStyle w:val="816"/>
          <w:b w:val="0"/>
          <w:bCs w:val="0"/>
          <w:color w:val="0d0d0d" w:themeColor="text1" w:themeTint="F2"/>
          <w:lang w:val="ro-RO"/>
        </w:rPr>
        <w:t xml:space="preserve">UAT Dăbâca </w:t>
      </w:r>
      <w:r>
        <w:rPr>
          <w:b w:val="0"/>
          <w:bCs w:val="0"/>
          <w:color w:val="0d0d0d" w:themeColor="text1" w:themeTint="F2"/>
        </w:rPr>
      </w:r>
    </w:p>
    <w:p>
      <w:pPr>
        <w:ind w:left="-540" w:right="-1080" w:hanging="90"/>
        <w:jc w:val="left"/>
        <w:spacing w:line="240" w:lineRule="auto"/>
        <w:rPr>
          <w:rFonts w:ascii="Arial" w:hAnsi="Arial" w:cs="Arial"/>
          <w:b w:val="0"/>
          <w:bCs w:val="0"/>
          <w:color w:val="0d0d0d" w:themeColor="text1" w:themeTint="F2"/>
          <w:highlight w:val="none"/>
        </w:rPr>
      </w:pPr>
      <w:r>
        <w:rPr>
          <w:rStyle w:val="816"/>
          <w:b w:val="0"/>
          <w:bCs w:val="0"/>
          <w:color w:val="0d0d0d" w:themeColor="text1" w:themeTint="F2"/>
          <w:highlight w:val="none"/>
          <w:lang w:val="ro-RO"/>
        </w:rPr>
        <w:t xml:space="preserve">                                                                                                                      Hodiș Brîndușa</w:t>
      </w:r>
      <w:r>
        <w:rPr>
          <w:rStyle w:val="816"/>
          <w:b w:val="0"/>
          <w:bCs w:val="0"/>
          <w:color w:val="0d0d0d" w:themeColor="text1" w:themeTint="F2"/>
          <w:highlight w:val="none"/>
          <w:lang w:val="ro-RO"/>
        </w:rPr>
      </w:r>
    </w:p>
    <w:p>
      <w:pPr>
        <w:ind w:left="-850" w:right="-709" w:hanging="283"/>
        <w:jc w:val="left"/>
        <w:tabs>
          <w:tab w:val="left" w:pos="10346" w:leader="none"/>
        </w:tabs>
        <w:rPr>
          <w:rStyle w:val="816"/>
          <w:rFonts w:ascii="Arial" w:hAnsi="Arial" w:cs="Arial"/>
          <w:color w:val="404040" w:themeColor="text1" w:themeTint="BF"/>
          <w:sz w:val="36"/>
          <w:szCs w:val="36"/>
          <w:highlight w:val="none"/>
        </w:rPr>
      </w:pPr>
      <w:r>
        <w:rPr>
          <w:rStyle w:val="816"/>
          <w:rFonts w:ascii="Arial" w:hAnsi="Arial" w:cs="Arial"/>
          <w:color w:val="404040" w:themeColor="text1" w:themeTint="BF"/>
          <w:sz w:val="36"/>
          <w:szCs w:val="36"/>
          <w:highlight w:val="none"/>
        </w:rPr>
      </w:r>
      <w:r>
        <w:rPr>
          <w:color w:val="404040" w:themeColor="text1" w:themeTint="BF"/>
          <w:lang w:val="ro-RO"/>
        </w:rPr>
        <w:t xml:space="preserve">           </w:t>
      </w:r>
      <w:r/>
    </w:p>
    <w:p>
      <w:pPr>
        <w:ind w:left="-540" w:right="-1080" w:hanging="90"/>
        <w:jc w:val="left"/>
        <w:rPr>
          <w:rStyle w:val="816"/>
          <w:rFonts w:ascii="Arial" w:hAnsi="Arial" w:cs="Arial"/>
          <w:color w:val="404040" w:themeColor="text1" w:themeTint="BF"/>
          <w:sz w:val="36"/>
          <w:szCs w:val="36"/>
          <w:highlight w:val="none"/>
        </w:rPr>
      </w:pPr>
      <w:r>
        <w:rPr>
          <w:rStyle w:val="816"/>
          <w:color w:val="404040" w:themeColor="text1" w:themeTint="BF"/>
          <w:highlight w:val="none"/>
        </w:rPr>
      </w:r>
      <w:r>
        <w:rPr>
          <w:color w:val="404040" w:themeColor="text1" w:themeTint="BF"/>
          <w:lang w:val="ro-RO"/>
        </w:rPr>
        <w:t xml:space="preserve">                                                                      </w:t>
      </w:r>
      <w:r/>
    </w:p>
    <w:p>
      <w:pPr>
        <w:ind w:left="-540" w:right="-1080" w:hanging="90"/>
        <w:jc w:val="left"/>
        <w:rPr>
          <w:rStyle w:val="816"/>
          <w:rFonts w:ascii="Arial" w:hAnsi="Arial" w:cs="Arial"/>
          <w:color w:val="404040" w:themeColor="text1" w:themeTint="BF"/>
          <w:sz w:val="36"/>
          <w:szCs w:val="36"/>
          <w:highlight w:val="none"/>
        </w:rPr>
      </w:pPr>
      <w:r>
        <w:rPr>
          <w:rStyle w:val="816"/>
          <w:rFonts w:ascii="Arial" w:hAnsi="Arial" w:cs="Arial"/>
          <w:color w:val="404040" w:themeColor="text1" w:themeTint="BF"/>
          <w:sz w:val="36"/>
          <w:szCs w:val="36"/>
          <w:highlight w:val="none"/>
        </w:rPr>
      </w:r>
      <w:r>
        <w:rPr>
          <w:color w:val="404040" w:themeColor="text1" w:themeTint="BF"/>
        </w:rPr>
      </w:r>
      <w:r/>
    </w:p>
    <w:p>
      <w:pPr>
        <w:ind w:left="-540" w:right="-1080" w:hanging="90"/>
        <w:jc w:val="left"/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</w:rPr>
      </w:pPr>
      <w:r>
        <w:rPr>
          <w:rStyle w:val="816"/>
          <w:highlight w:val="none"/>
        </w:rPr>
      </w:r>
      <w:r>
        <w:rPr>
          <w:rStyle w:val="816"/>
          <w:highlight w:val="none"/>
        </w:rPr>
      </w:r>
      <w:r/>
    </w:p>
    <w:p>
      <w:pPr>
        <w:ind w:left="-540" w:right="-1080" w:hanging="90"/>
        <w:jc w:val="left"/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</w:rPr>
      </w:pPr>
      <w:r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</w:rPr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</w:rPr>
      </w:r>
      <w:r/>
    </w:p>
    <w:p>
      <w:pPr>
        <w:ind w:left="-540" w:right="-1080" w:hanging="90"/>
        <w:jc w:val="left"/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</w:rPr>
      </w:pPr>
      <w:r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  <w:shd w:val="clear" w:color="auto" w:fill="ffffff"/>
        </w:rPr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  <w:shd w:val="clear" w:color="auto" w:fill="ffffff"/>
        </w:rPr>
      </w:r>
      <w:r/>
    </w:p>
    <w:p>
      <w:pPr>
        <w:ind w:left="-540" w:right="-1080" w:hanging="90"/>
        <w:jc w:val="left"/>
        <w:rPr>
          <w:rFonts w:ascii="Arial" w:hAnsi="Arial" w:cs="Arial"/>
          <w:color w:val="595959"/>
          <w:sz w:val="36"/>
          <w:szCs w:val="36"/>
        </w:rPr>
      </w:pPr>
      <w:r>
        <w:rPr>
          <w:rFonts w:ascii="Arial" w:hAnsi="Arial" w:cs="Arial"/>
          <w:color w:val="595959"/>
          <w:sz w:val="36"/>
          <w:szCs w:val="36"/>
        </w:rPr>
      </w:r>
      <w:r>
        <w:rPr>
          <w:rFonts w:ascii="Arial" w:hAnsi="Arial" w:cs="Arial"/>
          <w:color w:val="595959"/>
          <w:sz w:val="36"/>
          <w:szCs w:val="36"/>
        </w:rPr>
      </w:r>
      <w:r/>
    </w:p>
    <w:p>
      <w:pPr>
        <w:ind w:left="-540" w:right="-1080" w:hanging="90"/>
        <w:jc w:val="left"/>
        <w:rPr>
          <w:rFonts w:ascii="Arial" w:hAnsi="Arial" w:cs="Arial"/>
          <w:color w:val="595959"/>
          <w:sz w:val="36"/>
          <w:szCs w:val="36"/>
        </w:rPr>
      </w:pPr>
      <w:r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  <w:shd w:val="clear" w:color="auto" w:fill="ffffff"/>
        </w:rPr>
      </w:r>
      <w:r>
        <w:rPr>
          <w:rStyle w:val="816"/>
          <w:rFonts w:ascii="Arial" w:hAnsi="Arial" w:cs="Arial"/>
          <w:color w:val="595959" w:themeColor="text1" w:themeTint="A6"/>
          <w:sz w:val="36"/>
          <w:szCs w:val="36"/>
          <w:highlight w:val="none"/>
          <w:shd w:val="clear" w:color="auto" w:fill="ffffff"/>
        </w:rPr>
      </w:r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709" w:bottom="1134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  <w:style w:type="character" w:styleId="816" w:customStyle="1">
    <w:name w:val="Strong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37</cp:revision>
  <dcterms:modified xsi:type="dcterms:W3CDTF">2024-01-12T09:05:12Z</dcterms:modified>
</cp:coreProperties>
</file>